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86" w:rsidRPr="00F01B65" w:rsidRDefault="00F01B65" w:rsidP="00F01B65">
      <w:pPr>
        <w:jc w:val="center"/>
        <w:rPr>
          <w:b/>
          <w:sz w:val="32"/>
          <w:szCs w:val="32"/>
        </w:rPr>
      </w:pPr>
      <w:r w:rsidRPr="00F01B65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228600</wp:posOffset>
            </wp:positionV>
            <wp:extent cx="6838950" cy="619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640" w:rsidRPr="00CD2F03" w:rsidRDefault="00B56640" w:rsidP="00CD2F03">
      <w:pPr>
        <w:ind w:left="-567"/>
        <w:jc w:val="right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>Рекомендовано Техно</w:t>
      </w:r>
      <w:r w:rsidR="00EB5C70">
        <w:rPr>
          <w:rFonts w:ascii="IBM Plex Sans" w:hAnsi="IBM Plex Sans"/>
          <w:b/>
          <w:szCs w:val="24"/>
        </w:rPr>
        <w:t>логической и Монтажной службами.</w:t>
      </w:r>
    </w:p>
    <w:p w:rsidR="00C75F1B" w:rsidRPr="0017594E" w:rsidRDefault="006D3A96" w:rsidP="00CD2F03">
      <w:pPr>
        <w:ind w:left="-567"/>
        <w:jc w:val="center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 xml:space="preserve">ТРЕБОВАНИЯ К ПРОЕМАМ ДЛЯ </w:t>
      </w:r>
      <w:r w:rsidR="0017594E">
        <w:rPr>
          <w:rFonts w:ascii="IBM Plex Sans" w:hAnsi="IBM Plex Sans"/>
          <w:b/>
          <w:szCs w:val="24"/>
        </w:rPr>
        <w:t xml:space="preserve">РАСПАШНЫХ </w:t>
      </w:r>
      <w:r w:rsidRPr="00CD2F03">
        <w:rPr>
          <w:rFonts w:ascii="IBM Plex Sans" w:hAnsi="IBM Plex Sans"/>
          <w:b/>
          <w:szCs w:val="24"/>
        </w:rPr>
        <w:t>ПОЛОТЕН</w:t>
      </w:r>
      <w:r w:rsidR="0017594E" w:rsidRPr="0017594E">
        <w:rPr>
          <w:rFonts w:ascii="IBM Plex Sans" w:hAnsi="IBM Plex Sans"/>
          <w:b/>
          <w:szCs w:val="24"/>
        </w:rPr>
        <w:t xml:space="preserve"> </w:t>
      </w:r>
      <w:r w:rsidR="0017594E">
        <w:rPr>
          <w:rFonts w:ascii="IBM Plex Sans" w:hAnsi="IBM Plex Sans"/>
          <w:b/>
          <w:szCs w:val="24"/>
        </w:rPr>
        <w:t>В ПОТОЛОК.</w:t>
      </w:r>
    </w:p>
    <w:p w:rsidR="00CD2F03" w:rsidRPr="00CD2F03" w:rsidRDefault="00CD2F03" w:rsidP="00CD2F03">
      <w:pPr>
        <w:ind w:left="-567"/>
        <w:jc w:val="center"/>
        <w:rPr>
          <w:rFonts w:ascii="IBM Plex Sans" w:hAnsi="IBM Plex Sans"/>
          <w:b/>
          <w:szCs w:val="24"/>
        </w:rPr>
      </w:pPr>
      <w:r w:rsidRPr="00CD2F03">
        <w:rPr>
          <w:rFonts w:ascii="IBM Plex Sans" w:hAnsi="IBM Plex Sans"/>
          <w:b/>
          <w:szCs w:val="24"/>
        </w:rPr>
        <w:t>Требования к проему</w:t>
      </w:r>
      <w:r w:rsidR="00EB5C70">
        <w:rPr>
          <w:rFonts w:ascii="IBM Plex Sans" w:hAnsi="IBM Plex Sans"/>
          <w:b/>
          <w:szCs w:val="24"/>
        </w:rPr>
        <w:t>.</w:t>
      </w:r>
    </w:p>
    <w:p w:rsidR="00AD6150" w:rsidRPr="00CD2F03" w:rsidRDefault="001646BB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445134</wp:posOffset>
            </wp:positionV>
            <wp:extent cx="971550" cy="1330601"/>
            <wp:effectExtent l="19050" t="0" r="0" b="0"/>
            <wp:wrapNone/>
            <wp:docPr id="1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9" cstate="print"/>
                    <a:srcRect l="21201" r="35336" b="1105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30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150" w:rsidRPr="00CD2F03">
        <w:rPr>
          <w:rFonts w:ascii="IBM Plex Sans" w:hAnsi="IBM Plex Sans"/>
          <w:sz w:val="20"/>
          <w:szCs w:val="20"/>
        </w:rPr>
        <w:t xml:space="preserve">Проем должен быть сформирован (т.е. иметь четкие размеры: высоту, ширину и толщину), </w:t>
      </w:r>
      <w:r w:rsidR="009F76E4">
        <w:rPr>
          <w:rFonts w:ascii="IBM Plex Sans" w:hAnsi="IBM Plex Sans"/>
          <w:sz w:val="20"/>
          <w:szCs w:val="20"/>
        </w:rPr>
        <w:t>оформлен в чистом виде (гипсокартон обрезан, нет торчащего кирпича, арматуры, пенобетона, пазогребневых плит, керамической плитки или отштукатурены).</w:t>
      </w:r>
    </w:p>
    <w:p w:rsidR="00AD6150" w:rsidRPr="00CD2F03" w:rsidRDefault="00AD6150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B66212" w:rsidRPr="00CD2F03" w:rsidRDefault="00B66212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E31AE4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0F40EF" w:rsidRPr="00CD2F03" w:rsidRDefault="000F40E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7126F3" w:rsidRPr="00CD2F03" w:rsidRDefault="007126F3" w:rsidP="0076690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341537" w:rsidRPr="00CD2F03" w:rsidRDefault="006061DC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257810</wp:posOffset>
            </wp:positionV>
            <wp:extent cx="1057275" cy="1562100"/>
            <wp:effectExtent l="19050" t="0" r="9525" b="0"/>
            <wp:wrapNone/>
            <wp:docPr id="10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0" cstate="print"/>
                    <a:srcRect l="21555" r="37102" b="840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D2F03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</w:t>
      </w:r>
      <w:r w:rsidR="00E31AE4" w:rsidRPr="00CD2F03">
        <w:rPr>
          <w:rFonts w:ascii="IBM Plex Sans" w:hAnsi="IBM Plex Sans"/>
          <w:sz w:val="20"/>
          <w:szCs w:val="20"/>
        </w:rPr>
        <w:t>.</w:t>
      </w:r>
      <w:r w:rsidR="005D0057" w:rsidRPr="00CD2F03">
        <w:rPr>
          <w:rFonts w:ascii="IBM Plex Sans" w:hAnsi="IBM Plex Sans"/>
          <w:sz w:val="20"/>
          <w:szCs w:val="20"/>
        </w:rPr>
        <w:t xml:space="preserve"> Допускается н</w:t>
      </w:r>
      <w:r w:rsidR="00B761DB" w:rsidRPr="00CD2F03">
        <w:rPr>
          <w:rFonts w:ascii="IBM Plex Sans" w:hAnsi="IBM Plex Sans"/>
          <w:sz w:val="20"/>
          <w:szCs w:val="20"/>
        </w:rPr>
        <w:t xml:space="preserve">епараллельность не более </w:t>
      </w:r>
      <w:r w:rsidR="00341537" w:rsidRPr="00CD2F03">
        <w:rPr>
          <w:rFonts w:ascii="IBM Plex Sans" w:hAnsi="IBM Plex Sans"/>
          <w:b/>
          <w:sz w:val="20"/>
          <w:szCs w:val="20"/>
        </w:rPr>
        <w:t>5</w:t>
      </w:r>
      <w:r w:rsidR="005D0057" w:rsidRPr="00CD2F03">
        <w:rPr>
          <w:rFonts w:ascii="IBM Plex Sans" w:hAnsi="IBM Plex Sans"/>
          <w:b/>
          <w:sz w:val="20"/>
          <w:szCs w:val="20"/>
        </w:rPr>
        <w:t xml:space="preserve"> мм</w:t>
      </w:r>
      <w:r w:rsidR="005D0057" w:rsidRPr="00CD2F03">
        <w:rPr>
          <w:rFonts w:ascii="IBM Plex Sans" w:hAnsi="IBM Plex Sans"/>
          <w:sz w:val="20"/>
          <w:szCs w:val="20"/>
        </w:rPr>
        <w:t xml:space="preserve"> в зоне дверного проема.</w:t>
      </w:r>
    </w:p>
    <w:p w:rsidR="00E31AE4" w:rsidRPr="00CD2F03" w:rsidRDefault="00E31AE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45436D" w:rsidRPr="00CD2F03" w:rsidRDefault="0045436D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45436D" w:rsidRPr="00CD2F03" w:rsidRDefault="0045436D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B127EB" w:rsidRPr="00CD2F03" w:rsidRDefault="00B127EB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B127EB" w:rsidRDefault="00B127EB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0F40EF" w:rsidRDefault="000F40E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1A22C4" w:rsidRPr="00CD2F03" w:rsidRDefault="001A22C4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066D86" w:rsidRPr="00CD2F03" w:rsidRDefault="00066D86" w:rsidP="00766907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066D86" w:rsidRPr="00CD2F03" w:rsidRDefault="00066D8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574D49" w:rsidRPr="00CD2F03" w:rsidRDefault="00574D49" w:rsidP="00CD2F03">
      <w:pPr>
        <w:pStyle w:val="a3"/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CD2F03">
        <w:rPr>
          <w:rFonts w:ascii="IBM Plex Sans" w:hAnsi="IBM Plex Sans"/>
          <w:sz w:val="20"/>
          <w:szCs w:val="20"/>
        </w:rPr>
        <w:t xml:space="preserve">В зоне открывания полотна не должно быть </w:t>
      </w:r>
      <w:r w:rsidRPr="00CD2F03">
        <w:rPr>
          <w:rFonts w:ascii="IBM Plex Sans" w:hAnsi="IBM Plex Sans"/>
          <w:b/>
          <w:sz w:val="20"/>
          <w:szCs w:val="20"/>
        </w:rPr>
        <w:t>провисаний потолка</w:t>
      </w:r>
      <w:r w:rsidR="008731B9" w:rsidRPr="00CD2F03">
        <w:rPr>
          <w:rFonts w:ascii="IBM Plex Sans" w:hAnsi="IBM Plex Sans"/>
          <w:sz w:val="20"/>
          <w:szCs w:val="20"/>
        </w:rPr>
        <w:t>. Плоскость потолка в зоне открывания должна быть ровной и перпендикулярной плоскости полотна.</w:t>
      </w:r>
    </w:p>
    <w:p w:rsidR="000F40EF" w:rsidRDefault="000F40EF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26035</wp:posOffset>
            </wp:positionV>
            <wp:extent cx="1348105" cy="1257300"/>
            <wp:effectExtent l="19050" t="0" r="4445" b="0"/>
            <wp:wrapNone/>
            <wp:docPr id="8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rcRect l="23783" t="12048" r="22282" b="16265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8731B9" w:rsidRPr="00CD2F03" w:rsidRDefault="008731B9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8731B9" w:rsidRDefault="008731B9" w:rsidP="001A22C4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8558E6" w:rsidRPr="00CD2F03" w:rsidRDefault="008558E6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5D0057" w:rsidRPr="00CD2F03" w:rsidRDefault="005D0057" w:rsidP="00CD2F03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5D0057" w:rsidRPr="00CD2F03" w:rsidRDefault="000F40EF" w:rsidP="00CD2F03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267335</wp:posOffset>
            </wp:positionV>
            <wp:extent cx="1019175" cy="1419225"/>
            <wp:effectExtent l="19050" t="0" r="9525" b="0"/>
            <wp:wrapNone/>
            <wp:docPr id="11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2" cstate="print"/>
                    <a:srcRect l="22957" t="8466" r="35719" b="582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D2F03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0A7D03" w:rsidRPr="00CD2F03">
        <w:rPr>
          <w:rFonts w:ascii="IBM Plex Sans" w:hAnsi="IBM Plex Sans"/>
          <w:b/>
          <w:sz w:val="20"/>
          <w:szCs w:val="20"/>
        </w:rPr>
        <w:t>3</w:t>
      </w:r>
      <w:r w:rsidR="005D0057" w:rsidRPr="00CD2F03">
        <w:rPr>
          <w:rFonts w:ascii="IBM Plex Sans" w:hAnsi="IBM Plex Sans"/>
          <w:b/>
          <w:sz w:val="20"/>
          <w:szCs w:val="20"/>
        </w:rPr>
        <w:t xml:space="preserve"> мм на 1000 мм</w:t>
      </w:r>
      <w:r w:rsidR="00574D49" w:rsidRPr="00CD2F03">
        <w:rPr>
          <w:rFonts w:ascii="IBM Plex Sans" w:hAnsi="IBM Plex Sans"/>
          <w:b/>
          <w:sz w:val="20"/>
          <w:szCs w:val="20"/>
        </w:rPr>
        <w:t xml:space="preserve"> </w:t>
      </w:r>
      <w:r w:rsidR="005D0057" w:rsidRPr="00CD2F03">
        <w:rPr>
          <w:rFonts w:ascii="IBM Plex Sans" w:hAnsi="IBM Plex Sans"/>
          <w:sz w:val="20"/>
          <w:szCs w:val="20"/>
        </w:rPr>
        <w:t>высоты).</w:t>
      </w:r>
    </w:p>
    <w:p w:rsidR="00A10F6F" w:rsidRDefault="00A10F6F" w:rsidP="009F76E4">
      <w:p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</w:p>
    <w:p w:rsidR="000F40EF" w:rsidRDefault="000F40EF" w:rsidP="001A22C4">
      <w:pPr>
        <w:rPr>
          <w:rFonts w:ascii="IBM Plex Sans" w:hAnsi="IBM Plex Sans"/>
          <w:sz w:val="20"/>
          <w:szCs w:val="20"/>
        </w:rPr>
      </w:pPr>
    </w:p>
    <w:p w:rsidR="000F40EF" w:rsidRDefault="000F40EF" w:rsidP="001A22C4">
      <w:pPr>
        <w:rPr>
          <w:rFonts w:ascii="IBM Plex Sans" w:hAnsi="IBM Plex Sans"/>
          <w:sz w:val="20"/>
          <w:szCs w:val="20"/>
        </w:rPr>
      </w:pPr>
    </w:p>
    <w:p w:rsidR="000F40EF" w:rsidRDefault="000F40EF" w:rsidP="001A22C4">
      <w:pPr>
        <w:rPr>
          <w:rFonts w:ascii="IBM Plex Sans" w:hAnsi="IBM Plex Sans"/>
          <w:sz w:val="20"/>
          <w:szCs w:val="20"/>
        </w:rPr>
      </w:pPr>
    </w:p>
    <w:p w:rsidR="00766907" w:rsidRPr="00CD2F03" w:rsidRDefault="00766907" w:rsidP="00CD2F03">
      <w:pPr>
        <w:ind w:left="-567"/>
        <w:rPr>
          <w:rFonts w:ascii="IBM Plex Sans" w:hAnsi="IBM Plex Sans"/>
          <w:sz w:val="20"/>
          <w:szCs w:val="20"/>
        </w:rPr>
      </w:pPr>
    </w:p>
    <w:p w:rsidR="005D0057" w:rsidRPr="00A74A04" w:rsidRDefault="005D0057" w:rsidP="00A74A04">
      <w:pPr>
        <w:pStyle w:val="a3"/>
        <w:numPr>
          <w:ilvl w:val="0"/>
          <w:numId w:val="9"/>
        </w:numPr>
        <w:tabs>
          <w:tab w:val="clear" w:pos="360"/>
          <w:tab w:val="num" w:pos="-567"/>
        </w:tabs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 w:rsidRPr="00A74A04">
        <w:rPr>
          <w:rFonts w:ascii="IBM Plex Sans" w:hAnsi="IBM Plex Sans"/>
          <w:sz w:val="20"/>
          <w:szCs w:val="20"/>
        </w:rPr>
        <w:t>Стены вокруг проема долж</w:t>
      </w:r>
      <w:r w:rsidR="004E333F" w:rsidRPr="00A74A04">
        <w:rPr>
          <w:rFonts w:ascii="IBM Plex Sans" w:hAnsi="IBM Plex Sans"/>
          <w:sz w:val="20"/>
          <w:szCs w:val="20"/>
        </w:rPr>
        <w:t xml:space="preserve">ны составлять единую плоскость, </w:t>
      </w:r>
      <w:r w:rsidRPr="00A74A04">
        <w:rPr>
          <w:rFonts w:ascii="IBM Plex Sans" w:hAnsi="IBM Plex Sans"/>
          <w:sz w:val="20"/>
          <w:szCs w:val="20"/>
        </w:rPr>
        <w:t xml:space="preserve">отклонение плоскостности может составлять не более </w:t>
      </w:r>
      <w:r w:rsidR="00AB4E01" w:rsidRPr="00A74A04">
        <w:rPr>
          <w:rFonts w:ascii="IBM Plex Sans" w:hAnsi="IBM Plex Sans"/>
          <w:b/>
          <w:sz w:val="20"/>
          <w:szCs w:val="20"/>
        </w:rPr>
        <w:t>3</w:t>
      </w:r>
      <w:r w:rsidRPr="00A74A04">
        <w:rPr>
          <w:rFonts w:ascii="IBM Plex Sans" w:hAnsi="IBM Plex Sans"/>
          <w:b/>
          <w:sz w:val="20"/>
          <w:szCs w:val="20"/>
        </w:rPr>
        <w:t xml:space="preserve"> мм</w:t>
      </w:r>
      <w:r w:rsidRPr="00A74A04">
        <w:rPr>
          <w:rFonts w:ascii="IBM Plex Sans" w:hAnsi="IBM Plex Sans"/>
          <w:sz w:val="20"/>
          <w:szCs w:val="20"/>
        </w:rPr>
        <w:t xml:space="preserve"> на проем</w:t>
      </w:r>
      <w:r w:rsidR="004E333F" w:rsidRPr="00A74A04">
        <w:rPr>
          <w:rFonts w:ascii="IBM Plex Sans" w:hAnsi="IBM Plex Sans"/>
          <w:sz w:val="20"/>
          <w:szCs w:val="20"/>
        </w:rPr>
        <w:t>.</w:t>
      </w:r>
    </w:p>
    <w:p w:rsidR="005D0057" w:rsidRPr="00CD2F03" w:rsidRDefault="005D0057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:rsidR="00BA594D" w:rsidRDefault="000F40EF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-416560</wp:posOffset>
            </wp:positionV>
            <wp:extent cx="942975" cy="1304925"/>
            <wp:effectExtent l="19050" t="0" r="9525" b="0"/>
            <wp:wrapNone/>
            <wp:docPr id="18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3" cstate="print"/>
                    <a:srcRect l="19081" r="37102" b="946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0EF" w:rsidRDefault="000F40EF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:rsidR="001A22C4" w:rsidRPr="00CD2F03" w:rsidRDefault="001A22C4" w:rsidP="00CD2F03">
      <w:pPr>
        <w:ind w:left="-567"/>
        <w:jc w:val="center"/>
        <w:rPr>
          <w:rFonts w:ascii="IBM Plex Sans" w:hAnsi="IBM Plex Sans"/>
          <w:sz w:val="20"/>
          <w:szCs w:val="20"/>
        </w:rPr>
      </w:pPr>
    </w:p>
    <w:p w:rsidR="001A22C4" w:rsidRPr="000F40EF" w:rsidRDefault="000F40EF" w:rsidP="009F76E4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233045</wp:posOffset>
            </wp:positionV>
            <wp:extent cx="1079500" cy="1400175"/>
            <wp:effectExtent l="19050" t="0" r="6350" b="0"/>
            <wp:wrapNone/>
            <wp:docPr id="2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4" cstate="print"/>
                    <a:srcRect l="20127" t="8995" r="36441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D2F03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9A0266" w:rsidRPr="00CD2F03">
        <w:rPr>
          <w:rFonts w:ascii="IBM Plex Sans" w:hAnsi="IBM Plex Sans"/>
          <w:b/>
          <w:sz w:val="20"/>
          <w:szCs w:val="20"/>
        </w:rPr>
        <w:t>5</w:t>
      </w:r>
      <w:r w:rsidR="005D0057" w:rsidRPr="00CD2F03">
        <w:rPr>
          <w:rFonts w:ascii="IBM Plex Sans" w:hAnsi="IBM Plex Sans"/>
          <w:b/>
          <w:sz w:val="20"/>
          <w:szCs w:val="20"/>
        </w:rPr>
        <w:t xml:space="preserve"> мм</w:t>
      </w:r>
      <w:r w:rsidR="005D0057" w:rsidRPr="00CD2F03">
        <w:rPr>
          <w:rFonts w:ascii="IBM Plex Sans" w:hAnsi="IBM Plex Sans"/>
          <w:sz w:val="20"/>
          <w:szCs w:val="20"/>
        </w:rPr>
        <w:t xml:space="preserve"> на сторону.</w:t>
      </w:r>
    </w:p>
    <w:p w:rsidR="001A22C4" w:rsidRDefault="001A22C4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9F76E4" w:rsidRDefault="009F76E4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0F40EF" w:rsidRDefault="000F40EF" w:rsidP="009F76E4">
      <w:pPr>
        <w:spacing w:after="0" w:line="240" w:lineRule="auto"/>
        <w:rPr>
          <w:rFonts w:ascii="IBM Plex Sans" w:hAnsi="IBM Plex Sans"/>
          <w:b/>
          <w:sz w:val="20"/>
          <w:szCs w:val="20"/>
        </w:rPr>
      </w:pPr>
    </w:p>
    <w:p w:rsidR="006A4889" w:rsidRPr="00CD2F03" w:rsidRDefault="00604D82" w:rsidP="00CD2F03">
      <w:pPr>
        <w:spacing w:after="0" w:line="240" w:lineRule="auto"/>
        <w:ind w:left="-567"/>
        <w:jc w:val="center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>Особенности установки</w:t>
      </w:r>
    </w:p>
    <w:p w:rsidR="006A4889" w:rsidRPr="009F76E4" w:rsidRDefault="006A4889" w:rsidP="00CD2F03">
      <w:pPr>
        <w:spacing w:after="0" w:line="240" w:lineRule="auto"/>
        <w:ind w:left="-567"/>
        <w:rPr>
          <w:rFonts w:ascii="IBM Plex Sans" w:hAnsi="IBM Plex Sans"/>
          <w:sz w:val="20"/>
          <w:szCs w:val="20"/>
        </w:rPr>
      </w:pPr>
    </w:p>
    <w:p w:rsidR="00EB5C70" w:rsidRPr="00766907" w:rsidRDefault="009F76E4" w:rsidP="00766907">
      <w:pPr>
        <w:pStyle w:val="a3"/>
        <w:numPr>
          <w:ilvl w:val="0"/>
          <w:numId w:val="10"/>
        </w:numPr>
        <w:spacing w:after="0" w:line="240" w:lineRule="auto"/>
        <w:ind w:left="-567"/>
        <w:rPr>
          <w:rFonts w:ascii="IBM Plex Sans" w:hAnsi="IBM Plex Sans"/>
          <w:sz w:val="20"/>
          <w:szCs w:val="20"/>
          <w:u w:val="single"/>
        </w:rPr>
      </w:pPr>
      <w:r w:rsidRPr="009F76E4">
        <w:rPr>
          <w:rFonts w:ascii="IBM Plex Sans" w:hAnsi="IBM Plex Sans"/>
          <w:sz w:val="20"/>
          <w:szCs w:val="20"/>
        </w:rPr>
        <w:t>Полотно устанавливается в подготовленный чистовой проем на чистовое напольное покрытие согласно Требований к проему.</w:t>
      </w:r>
    </w:p>
    <w:p w:rsidR="00766907" w:rsidRPr="001A22C4" w:rsidRDefault="002E1102" w:rsidP="001A22C4">
      <w:pPr>
        <w:pStyle w:val="11"/>
        <w:numPr>
          <w:ilvl w:val="0"/>
          <w:numId w:val="10"/>
        </w:numPr>
        <w:tabs>
          <w:tab w:val="left" w:pos="1362"/>
        </w:tabs>
        <w:spacing w:before="182"/>
        <w:ind w:left="-567" w:right="1066"/>
        <w:rPr>
          <w:rFonts w:ascii="IBM Plex Sans" w:hAnsi="IBM Plex Sans"/>
          <w:i w:val="0"/>
          <w:spacing w:val="5"/>
          <w:sz w:val="20"/>
          <w:szCs w:val="20"/>
          <w:lang w:val="ru-RU"/>
        </w:rPr>
      </w:pP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Таблица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размеров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="009F76E4">
        <w:rPr>
          <w:rFonts w:ascii="IBM Plex Sans" w:hAnsi="IBM Plex Sans"/>
          <w:i w:val="0"/>
          <w:spacing w:val="-1"/>
          <w:sz w:val="20"/>
          <w:szCs w:val="20"/>
          <w:lang w:val="ru-RU"/>
        </w:rPr>
        <w:t>проема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>для</w:t>
      </w:r>
      <w:r w:rsidR="008A5FED" w:rsidRPr="00CD2F03">
        <w:rPr>
          <w:rFonts w:ascii="IBM Plex Sans" w:hAnsi="IBM Plex Sans"/>
          <w:i w:val="0"/>
          <w:spacing w:val="-1"/>
          <w:sz w:val="20"/>
          <w:szCs w:val="20"/>
          <w:lang w:val="ru-RU"/>
        </w:rPr>
        <w:t xml:space="preserve"> </w:t>
      </w:r>
      <w:r w:rsidR="009F76E4">
        <w:rPr>
          <w:rFonts w:ascii="IBM Plex Sans" w:hAnsi="IBM Plex Sans"/>
          <w:i w:val="0"/>
          <w:spacing w:val="-2"/>
          <w:sz w:val="20"/>
          <w:szCs w:val="20"/>
          <w:lang w:val="ru-RU"/>
        </w:rPr>
        <w:t xml:space="preserve">распашной двери в потолок </w:t>
      </w:r>
      <w:r w:rsidRPr="00CD2F03">
        <w:rPr>
          <w:rFonts w:ascii="IBM Plex Sans" w:hAnsi="IBM Plex Sans"/>
          <w:i w:val="0"/>
          <w:spacing w:val="6"/>
          <w:sz w:val="20"/>
          <w:szCs w:val="20"/>
          <w:lang w:val="ru-RU"/>
        </w:rPr>
        <w:t>Невидимка</w:t>
      </w:r>
      <w:r w:rsidR="00A74A04">
        <w:rPr>
          <w:rFonts w:ascii="IBM Plex Sans" w:hAnsi="IBM Plex Sans"/>
          <w:i w:val="0"/>
          <w:spacing w:val="6"/>
          <w:sz w:val="20"/>
          <w:szCs w:val="20"/>
          <w:lang w:val="ru-RU"/>
        </w:rPr>
        <w:t xml:space="preserve"> прямого </w:t>
      </w:r>
      <w:r w:rsidR="00A74A04">
        <w:rPr>
          <w:rFonts w:ascii="IBM Plex Sans" w:hAnsi="IBM Plex Sans"/>
          <w:i w:val="0"/>
          <w:spacing w:val="5"/>
          <w:sz w:val="20"/>
          <w:szCs w:val="20"/>
          <w:lang w:val="ru-RU"/>
        </w:rPr>
        <w:t>для полотен высотой 29</w:t>
      </w:r>
      <w:r w:rsidR="00130692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00 мм</w:t>
      </w:r>
      <w:r w:rsidR="00BB2D08" w:rsidRPr="00CD2F03">
        <w:rPr>
          <w:rFonts w:ascii="IBM Plex Sans" w:hAnsi="IBM Plex Sans"/>
          <w:i w:val="0"/>
          <w:spacing w:val="5"/>
          <w:sz w:val="20"/>
          <w:szCs w:val="20"/>
          <w:lang w:val="ru-RU"/>
        </w:rPr>
        <w:t>.</w:t>
      </w:r>
    </w:p>
    <w:p w:rsidR="000F40EF" w:rsidRDefault="000F40EF" w:rsidP="000F40EF">
      <w:pPr>
        <w:ind w:left="-567"/>
        <w:rPr>
          <w:rFonts w:ascii="IBM Plex Sans" w:hAnsi="IBM Plex Sans"/>
          <w:b/>
          <w:sz w:val="20"/>
          <w:szCs w:val="20"/>
        </w:rPr>
      </w:pPr>
    </w:p>
    <w:p w:rsidR="00504DF3" w:rsidRPr="00CD2F03" w:rsidRDefault="00504DF3" w:rsidP="00CD2F03">
      <w:pPr>
        <w:ind w:left="-567"/>
        <w:jc w:val="center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>Номинальный (рекомендуемый) размер проема.</w:t>
      </w:r>
    </w:p>
    <w:tbl>
      <w:tblPr>
        <w:tblpPr w:leftFromText="180" w:rightFromText="180" w:vertAnchor="text" w:horzAnchor="margin" w:tblpXSpec="center" w:tblpY="19"/>
        <w:tblW w:w="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1809"/>
        <w:gridCol w:w="1701"/>
      </w:tblGrid>
      <w:tr w:rsidR="00A74A04" w:rsidRPr="00CD2F03" w:rsidTr="00A74A04">
        <w:trPr>
          <w:trHeight w:val="418"/>
        </w:trPr>
        <w:tc>
          <w:tcPr>
            <w:tcW w:w="2087" w:type="dxa"/>
            <w:shd w:val="clear" w:color="auto" w:fill="auto"/>
            <w:vAlign w:val="center"/>
            <w:hideMark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Ширина (проема)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Высота (проема)</w:t>
            </w:r>
          </w:p>
        </w:tc>
        <w:tc>
          <w:tcPr>
            <w:tcW w:w="1701" w:type="dxa"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b/>
                <w:bCs/>
                <w:color w:val="000000"/>
                <w:sz w:val="20"/>
                <w:szCs w:val="20"/>
              </w:rPr>
              <w:t>Размер полотна</w:t>
            </w:r>
          </w:p>
        </w:tc>
      </w:tr>
      <w:tr w:rsidR="00A74A04" w:rsidRPr="00CD2F03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70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600х2900</w:t>
            </w:r>
          </w:p>
        </w:tc>
      </w:tr>
      <w:tr w:rsidR="00A74A04" w:rsidRPr="00CD2F03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80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700х2900</w:t>
            </w:r>
          </w:p>
        </w:tc>
      </w:tr>
      <w:tr w:rsidR="00A74A04" w:rsidRPr="00CD2F03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90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800х2900</w:t>
            </w:r>
          </w:p>
        </w:tc>
      </w:tr>
      <w:tr w:rsidR="00A74A04" w:rsidRPr="00CD2F03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100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74A04" w:rsidRPr="00CD2F03" w:rsidRDefault="00A74A0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900х2900</w:t>
            </w:r>
          </w:p>
        </w:tc>
      </w:tr>
      <w:tr w:rsidR="00A74A04" w:rsidRPr="00CD2F03" w:rsidTr="00A74A04">
        <w:trPr>
          <w:trHeight w:val="268"/>
        </w:trPr>
        <w:tc>
          <w:tcPr>
            <w:tcW w:w="2087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110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A74A04" w:rsidRPr="00CD2F03" w:rsidRDefault="00766907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292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74A04" w:rsidRPr="00CD2F03" w:rsidRDefault="001A22C4" w:rsidP="00A74A04">
            <w:pPr>
              <w:ind w:left="-567"/>
              <w:jc w:val="right"/>
              <w:rPr>
                <w:rFonts w:ascii="IBM Plex Sans" w:hAnsi="IBM Plex Sans" w:cs="Calibri"/>
                <w:color w:val="000000"/>
                <w:sz w:val="20"/>
                <w:szCs w:val="20"/>
              </w:rPr>
            </w:pPr>
            <w:r>
              <w:rPr>
                <w:rFonts w:ascii="IBM Plex Sans" w:hAnsi="IBM Plex Sans" w:cs="Calibri"/>
                <w:color w:val="000000"/>
                <w:sz w:val="20"/>
                <w:szCs w:val="20"/>
              </w:rPr>
              <w:t>1000х29</w:t>
            </w:r>
            <w:r w:rsidR="00A74A04" w:rsidRPr="00CD2F03">
              <w:rPr>
                <w:rFonts w:ascii="IBM Plex Sans" w:hAnsi="IBM Plex Sans" w:cs="Calibri"/>
                <w:color w:val="000000"/>
                <w:sz w:val="20"/>
                <w:szCs w:val="20"/>
              </w:rPr>
              <w:t>00</w:t>
            </w:r>
          </w:p>
        </w:tc>
      </w:tr>
    </w:tbl>
    <w:p w:rsidR="00766907" w:rsidRPr="00CD2F03" w:rsidRDefault="00766907" w:rsidP="008558E6">
      <w:pPr>
        <w:jc w:val="both"/>
        <w:rPr>
          <w:rFonts w:ascii="IBM Plex Sans" w:hAnsi="IBM Plex Sans"/>
          <w:b/>
          <w:sz w:val="20"/>
          <w:szCs w:val="20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1A22C4" w:rsidRDefault="001A22C4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0F40EF" w:rsidRDefault="000F40EF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0F40EF" w:rsidRDefault="000F40EF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</w:pPr>
    </w:p>
    <w:p w:rsidR="00574D49" w:rsidRPr="00766907" w:rsidRDefault="00574D49" w:rsidP="00CD2F03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 w:cs="KievitCyr-BookItalicSC"/>
          <w:b/>
          <w:i w:val="0"/>
          <w:sz w:val="20"/>
          <w:szCs w:val="20"/>
          <w:lang w:val="ru-RU"/>
        </w:rPr>
      </w:pP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Таблица</w:t>
      </w:r>
      <w:r w:rsidRPr="00CD2F03">
        <w:rPr>
          <w:rFonts w:ascii="IBM Plex Sans" w:hAnsi="IBM Plex Sans"/>
          <w:b/>
          <w:i w:val="0"/>
          <w:spacing w:val="-4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размеров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</w:t>
      </w:r>
      <w:r w:rsidR="00766907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 xml:space="preserve">дверных блоков и проемов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для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</w:t>
      </w:r>
      <w:r w:rsidR="00766907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распашной 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>двери</w:t>
      </w:r>
      <w:r w:rsidR="00766907">
        <w:rPr>
          <w:rFonts w:ascii="IBM Plex Sans" w:hAnsi="IBM Plex Sans"/>
          <w:b/>
          <w:i w:val="0"/>
          <w:sz w:val="20"/>
          <w:szCs w:val="20"/>
          <w:lang w:val="ru-RU"/>
        </w:rPr>
        <w:t xml:space="preserve"> в потолок с обрамлением коробка с наличниками </w:t>
      </w:r>
      <w:r w:rsidR="00766907">
        <w:rPr>
          <w:rFonts w:ascii="IBM Plex Sans" w:hAnsi="IBM Plex Sans"/>
          <w:b/>
          <w:i w:val="0"/>
          <w:sz w:val="20"/>
          <w:szCs w:val="20"/>
        </w:rPr>
        <w:t>H</w:t>
      </w:r>
      <w:r w:rsidR="00766907">
        <w:rPr>
          <w:rFonts w:ascii="IBM Plex Sans" w:hAnsi="IBM Plex Sans"/>
          <w:b/>
          <w:i w:val="0"/>
          <w:sz w:val="20"/>
          <w:szCs w:val="20"/>
          <w:lang w:val="ru-RU"/>
        </w:rPr>
        <w:t>=80 мм.</w:t>
      </w:r>
    </w:p>
    <w:p w:rsidR="00574D49" w:rsidRPr="00CD2F03" w:rsidRDefault="00574D49" w:rsidP="00EB5C70">
      <w:pPr>
        <w:pStyle w:val="ab"/>
        <w:spacing w:before="80"/>
        <w:ind w:left="-567"/>
        <w:jc w:val="center"/>
        <w:rPr>
          <w:rFonts w:ascii="IBM Plex Sans" w:hAnsi="IBM Plex Sans"/>
          <w:spacing w:val="-1"/>
          <w:sz w:val="20"/>
          <w:szCs w:val="20"/>
          <w:lang w:val="ru-RU"/>
        </w:rPr>
      </w:pPr>
      <w:r w:rsidRPr="00CD2F03">
        <w:rPr>
          <w:rFonts w:ascii="IBM Plex Sans" w:hAnsi="IBM Plex Sans"/>
          <w:spacing w:val="-1"/>
          <w:sz w:val="20"/>
          <w:szCs w:val="20"/>
        </w:rPr>
        <w:t xml:space="preserve">(приведены округленные </w:t>
      </w:r>
      <w:r w:rsidRPr="00CD2F03">
        <w:rPr>
          <w:rFonts w:ascii="IBM Plex Sans" w:hAnsi="IBM Plex Sans"/>
          <w:sz w:val="20"/>
          <w:szCs w:val="20"/>
        </w:rPr>
        <w:t>размеры</w:t>
      </w:r>
      <w:r w:rsidRPr="00CD2F03">
        <w:rPr>
          <w:rFonts w:ascii="IBM Plex Sans" w:hAnsi="IBM Plex Sans"/>
          <w:spacing w:val="-1"/>
          <w:sz w:val="20"/>
          <w:szCs w:val="20"/>
        </w:rPr>
        <w:t xml:space="preserve"> конструкций)</w:t>
      </w:r>
    </w:p>
    <w:p w:rsidR="00574D49" w:rsidRPr="00CD2F03" w:rsidRDefault="00574D49" w:rsidP="00CD2F03">
      <w:pPr>
        <w:pStyle w:val="ab"/>
        <w:spacing w:before="80"/>
        <w:ind w:left="-567"/>
        <w:rPr>
          <w:rFonts w:ascii="IBM Plex Sans" w:hAnsi="IBM Plex Sans"/>
          <w:i w:val="0"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page" w:tblpX="2982" w:tblpY="-56"/>
        <w:tblW w:w="0" w:type="auto"/>
        <w:tblLayout w:type="fixed"/>
        <w:tblLook w:val="01E0"/>
      </w:tblPr>
      <w:tblGrid>
        <w:gridCol w:w="2343"/>
        <w:gridCol w:w="2310"/>
        <w:gridCol w:w="2268"/>
      </w:tblGrid>
      <w:tr w:rsidR="00574D49" w:rsidRPr="00CD2F03" w:rsidTr="008558E6">
        <w:trPr>
          <w:trHeight w:hRule="exact" w:val="571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Размер</w:t>
            </w:r>
            <w:r w:rsidRPr="00CD2F03">
              <w:rPr>
                <w:rFonts w:ascii="IBM Plex Sans" w:hAnsi="IBM Plex Sans"/>
                <w:b/>
                <w:spacing w:val="12"/>
                <w:sz w:val="20"/>
                <w:szCs w:val="20"/>
              </w:rPr>
              <w:t xml:space="preserve"> </w:t>
            </w: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полотна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6"/>
                <w:sz w:val="20"/>
                <w:szCs w:val="20"/>
              </w:rPr>
              <w:t>mi</w:t>
            </w:r>
            <w:r w:rsidRPr="00CD2F03">
              <w:rPr>
                <w:rFonts w:ascii="IBM Plex Sans" w:hAnsi="IBM Plex Sans"/>
                <w:b/>
                <w:sz w:val="20"/>
                <w:szCs w:val="20"/>
              </w:rPr>
              <w:t>n</w:t>
            </w:r>
          </w:p>
          <w:p w:rsidR="00574D49" w:rsidRPr="00CD2F03" w:rsidRDefault="00574D49" w:rsidP="008558E6">
            <w:pPr>
              <w:pStyle w:val="TableParagraph"/>
              <w:spacing w:before="37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ширина/высота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 w:right="5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3"/>
                <w:sz w:val="20"/>
                <w:szCs w:val="20"/>
              </w:rPr>
              <w:t>max</w:t>
            </w:r>
          </w:p>
          <w:p w:rsidR="00574D49" w:rsidRPr="00CD2F03" w:rsidRDefault="00574D49" w:rsidP="008558E6">
            <w:pPr>
              <w:pStyle w:val="TableParagraph"/>
              <w:spacing w:before="37"/>
              <w:ind w:left="-567" w:right="1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ширина/высота</w:t>
            </w:r>
          </w:p>
        </w:tc>
      </w:tr>
      <w:tr w:rsidR="00574D49" w:rsidRPr="00CD2F03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600х2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673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</w:t>
            </w:r>
            <w:r w:rsidR="00766907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69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773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</w:t>
            </w:r>
            <w:r w:rsidR="00766907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69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873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969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900х2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973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1069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574D49" w:rsidRPr="00CD2F03" w:rsidTr="008558E6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1000х2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766907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1073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="00574D49"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D49" w:rsidRPr="00CD2F03" w:rsidRDefault="00574D49" w:rsidP="008558E6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11</w:t>
            </w:r>
            <w:r w:rsidR="00766907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69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</w:tbl>
    <w:p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574D49" w:rsidRPr="00CD2F03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574D49" w:rsidRDefault="00574D49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1A22C4" w:rsidRDefault="001A22C4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0F40EF" w:rsidRDefault="000F40EF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0F40EF" w:rsidRPr="00766907" w:rsidRDefault="000F40EF" w:rsidP="000F40EF">
      <w:pPr>
        <w:pStyle w:val="Heading1"/>
        <w:tabs>
          <w:tab w:val="left" w:pos="1362"/>
        </w:tabs>
        <w:spacing w:before="182"/>
        <w:ind w:left="-567" w:right="1066"/>
        <w:jc w:val="center"/>
        <w:rPr>
          <w:rFonts w:ascii="IBM Plex Sans" w:hAnsi="IBM Plex Sans" w:cs="KievitCyr-BookItalicSC"/>
          <w:b/>
          <w:i w:val="0"/>
          <w:sz w:val="20"/>
          <w:szCs w:val="20"/>
          <w:lang w:val="ru-RU"/>
        </w:rPr>
      </w:pP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lastRenderedPageBreak/>
        <w:t>Таблица</w:t>
      </w:r>
      <w:r w:rsidRPr="00CD2F03">
        <w:rPr>
          <w:rFonts w:ascii="IBM Plex Sans" w:hAnsi="IBM Plex Sans"/>
          <w:b/>
          <w:i w:val="0"/>
          <w:spacing w:val="-4"/>
          <w:sz w:val="20"/>
          <w:szCs w:val="20"/>
          <w:lang w:val="ru-RU"/>
        </w:rPr>
        <w:t xml:space="preserve">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размеров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</w:t>
      </w:r>
      <w:r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 xml:space="preserve">дверных блоков и проемов </w:t>
      </w:r>
      <w:r w:rsidRPr="00CD2F03">
        <w:rPr>
          <w:rFonts w:ascii="IBM Plex Sans" w:hAnsi="IBM Plex Sans"/>
          <w:b/>
          <w:i w:val="0"/>
          <w:spacing w:val="-1"/>
          <w:sz w:val="20"/>
          <w:szCs w:val="20"/>
          <w:lang w:val="ru-RU"/>
        </w:rPr>
        <w:t>для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 </w:t>
      </w:r>
      <w:r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 xml:space="preserve">распашной </w:t>
      </w:r>
      <w:r w:rsidRPr="00CD2F03">
        <w:rPr>
          <w:rFonts w:ascii="IBM Plex Sans" w:hAnsi="IBM Plex Sans"/>
          <w:b/>
          <w:i w:val="0"/>
          <w:spacing w:val="-2"/>
          <w:sz w:val="20"/>
          <w:szCs w:val="20"/>
          <w:lang w:val="ru-RU"/>
        </w:rPr>
        <w:t>двери</w:t>
      </w:r>
      <w:r>
        <w:rPr>
          <w:rFonts w:ascii="IBM Plex Sans" w:hAnsi="IBM Plex Sans"/>
          <w:b/>
          <w:i w:val="0"/>
          <w:sz w:val="20"/>
          <w:szCs w:val="20"/>
          <w:lang w:val="ru-RU"/>
        </w:rPr>
        <w:t xml:space="preserve"> в потолок с обрамлением моноблок для компланарной системы.</w:t>
      </w:r>
    </w:p>
    <w:p w:rsidR="000F40EF" w:rsidRPr="00CD2F03" w:rsidRDefault="000F40EF" w:rsidP="000F40EF">
      <w:pPr>
        <w:pStyle w:val="ab"/>
        <w:spacing w:before="80"/>
        <w:ind w:left="-567"/>
        <w:jc w:val="center"/>
        <w:rPr>
          <w:rFonts w:ascii="IBM Plex Sans" w:hAnsi="IBM Plex Sans"/>
          <w:spacing w:val="-1"/>
          <w:sz w:val="20"/>
          <w:szCs w:val="20"/>
          <w:lang w:val="ru-RU"/>
        </w:rPr>
      </w:pPr>
      <w:r w:rsidRPr="00CD2F03">
        <w:rPr>
          <w:rFonts w:ascii="IBM Plex Sans" w:hAnsi="IBM Plex Sans"/>
          <w:spacing w:val="-1"/>
          <w:sz w:val="20"/>
          <w:szCs w:val="20"/>
        </w:rPr>
        <w:t xml:space="preserve">(приведены округленные </w:t>
      </w:r>
      <w:r w:rsidRPr="00CD2F03">
        <w:rPr>
          <w:rFonts w:ascii="IBM Plex Sans" w:hAnsi="IBM Plex Sans"/>
          <w:sz w:val="20"/>
          <w:szCs w:val="20"/>
        </w:rPr>
        <w:t>размеры</w:t>
      </w:r>
      <w:r w:rsidRPr="00CD2F03">
        <w:rPr>
          <w:rFonts w:ascii="IBM Plex Sans" w:hAnsi="IBM Plex Sans"/>
          <w:spacing w:val="-1"/>
          <w:sz w:val="20"/>
          <w:szCs w:val="20"/>
        </w:rPr>
        <w:t xml:space="preserve"> конструкций)</w:t>
      </w:r>
    </w:p>
    <w:tbl>
      <w:tblPr>
        <w:tblStyle w:val="TableNormal"/>
        <w:tblpPr w:leftFromText="180" w:rightFromText="180" w:vertAnchor="text" w:horzAnchor="margin" w:tblpXSpec="center" w:tblpY="166"/>
        <w:tblW w:w="0" w:type="auto"/>
        <w:tblLayout w:type="fixed"/>
        <w:tblLook w:val="01E0"/>
      </w:tblPr>
      <w:tblGrid>
        <w:gridCol w:w="2343"/>
        <w:gridCol w:w="2310"/>
        <w:gridCol w:w="2268"/>
      </w:tblGrid>
      <w:tr w:rsidR="000F40EF" w:rsidRPr="00CD2F03" w:rsidTr="000F40EF">
        <w:trPr>
          <w:trHeight w:hRule="exact" w:val="571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Размер</w:t>
            </w:r>
            <w:r w:rsidRPr="00CD2F03">
              <w:rPr>
                <w:rFonts w:ascii="IBM Plex Sans" w:hAnsi="IBM Plex Sans"/>
                <w:b/>
                <w:spacing w:val="12"/>
                <w:sz w:val="20"/>
                <w:szCs w:val="20"/>
              </w:rPr>
              <w:t xml:space="preserve"> </w:t>
            </w: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полотна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6"/>
                <w:sz w:val="20"/>
                <w:szCs w:val="20"/>
              </w:rPr>
              <w:t>mi</w:t>
            </w:r>
            <w:r w:rsidRPr="00CD2F03">
              <w:rPr>
                <w:rFonts w:ascii="IBM Plex Sans" w:hAnsi="IBM Plex Sans"/>
                <w:b/>
                <w:sz w:val="20"/>
                <w:szCs w:val="20"/>
              </w:rPr>
              <w:t>n</w:t>
            </w:r>
          </w:p>
          <w:p w:rsidR="000F40EF" w:rsidRPr="00CD2F03" w:rsidRDefault="000F40EF" w:rsidP="000F40EF">
            <w:pPr>
              <w:pStyle w:val="TableParagraph"/>
              <w:spacing w:before="37"/>
              <w:ind w:left="-567" w:right="3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ширина/высота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 w:right="5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3"/>
                <w:sz w:val="20"/>
                <w:szCs w:val="20"/>
              </w:rPr>
              <w:t>max</w:t>
            </w:r>
          </w:p>
          <w:p w:rsidR="000F40EF" w:rsidRPr="00CD2F03" w:rsidRDefault="000F40EF" w:rsidP="000F40EF">
            <w:pPr>
              <w:pStyle w:val="TableParagraph"/>
              <w:spacing w:before="37"/>
              <w:ind w:left="-567" w:right="1"/>
              <w:jc w:val="center"/>
              <w:rPr>
                <w:rFonts w:ascii="IBM Plex Sans" w:eastAsia="KievitCyr-BookItalicSC" w:hAnsi="IBM Plex Sans" w:cs="KievitCyr-BookItalicSC"/>
                <w:b/>
                <w:sz w:val="20"/>
                <w:szCs w:val="20"/>
              </w:rPr>
            </w:pPr>
            <w:r w:rsidRPr="00CD2F03">
              <w:rPr>
                <w:rFonts w:ascii="IBM Plex Sans" w:hAnsi="IBM Plex Sans"/>
                <w:b/>
                <w:spacing w:val="4"/>
                <w:sz w:val="20"/>
                <w:szCs w:val="20"/>
              </w:rPr>
              <w:t>ширина/высота</w:t>
            </w:r>
          </w:p>
        </w:tc>
      </w:tr>
      <w:tr w:rsidR="000F40EF" w:rsidRPr="00CD2F03" w:rsidTr="000F40EF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600х2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673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</w:t>
            </w: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54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0F40EF" w:rsidRPr="00CD2F03" w:rsidTr="000F40EF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700х2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773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</w:t>
            </w: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54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0F40EF" w:rsidRPr="00CD2F03" w:rsidTr="000F40EF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800х2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873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954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0F40EF" w:rsidRPr="00CD2F03" w:rsidTr="000F40EF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900х2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973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1054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  <w:tr w:rsidR="000F40EF" w:rsidRPr="00CD2F03" w:rsidTr="000F40EF">
        <w:trPr>
          <w:trHeight w:hRule="exact" w:val="29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1000х2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00</w:t>
            </w:r>
          </w:p>
        </w:tc>
        <w:tc>
          <w:tcPr>
            <w:tcW w:w="2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1073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915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40EF" w:rsidRPr="00CD2F03" w:rsidRDefault="000F40EF" w:rsidP="000F40EF">
            <w:pPr>
              <w:pStyle w:val="TableParagraph"/>
              <w:spacing w:line="241" w:lineRule="exact"/>
              <w:ind w:left="-567"/>
              <w:jc w:val="center"/>
              <w:rPr>
                <w:rFonts w:ascii="IBM Plex Sans" w:eastAsia="KievitCyr-BookItalicSC" w:hAnsi="IBM Plex Sans" w:cs="KievitCyr-BookItalicSC"/>
                <w:sz w:val="20"/>
                <w:szCs w:val="20"/>
                <w:lang w:val="ru-RU"/>
              </w:rPr>
            </w:pP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11</w:t>
            </w:r>
            <w:r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54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</w:rPr>
              <w:t>х2</w:t>
            </w:r>
            <w:r w:rsidRPr="00CD2F03">
              <w:rPr>
                <w:rFonts w:ascii="IBM Plex Sans" w:hAnsi="IBM Plex Sans"/>
                <w:spacing w:val="-1"/>
                <w:sz w:val="20"/>
                <w:szCs w:val="20"/>
                <w:lang w:val="ru-RU"/>
              </w:rPr>
              <w:t>940</w:t>
            </w:r>
          </w:p>
        </w:tc>
      </w:tr>
    </w:tbl>
    <w:p w:rsidR="000F40EF" w:rsidRPr="00CD2F03" w:rsidRDefault="000F40EF" w:rsidP="000F40EF">
      <w:pPr>
        <w:pStyle w:val="ab"/>
        <w:spacing w:before="80"/>
        <w:ind w:left="-567"/>
        <w:rPr>
          <w:rFonts w:ascii="IBM Plex Sans" w:hAnsi="IBM Plex Sans"/>
          <w:i w:val="0"/>
          <w:sz w:val="20"/>
          <w:szCs w:val="20"/>
          <w:lang w:val="ru-RU"/>
        </w:rPr>
      </w:pPr>
    </w:p>
    <w:p w:rsidR="000F40EF" w:rsidRPr="00CD2F03" w:rsidRDefault="000F40EF" w:rsidP="000F40EF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0F40EF" w:rsidRDefault="000F40EF" w:rsidP="000F40EF">
      <w:pPr>
        <w:jc w:val="both"/>
        <w:rPr>
          <w:rFonts w:ascii="IBM Plex Sans" w:hAnsi="IBM Plex Sans"/>
          <w:b/>
          <w:sz w:val="20"/>
          <w:szCs w:val="20"/>
        </w:rPr>
      </w:pPr>
    </w:p>
    <w:p w:rsidR="000F40EF" w:rsidRDefault="000F40EF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0F40EF" w:rsidRDefault="000F40EF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</w:p>
    <w:p w:rsidR="00574D49" w:rsidRPr="00CD2F03" w:rsidRDefault="00574D49" w:rsidP="001A22C4">
      <w:pPr>
        <w:jc w:val="both"/>
        <w:rPr>
          <w:rFonts w:ascii="IBM Plex Sans" w:hAnsi="IBM Plex Sans"/>
          <w:b/>
          <w:sz w:val="20"/>
          <w:szCs w:val="20"/>
        </w:rPr>
      </w:pPr>
    </w:p>
    <w:p w:rsidR="00504DF3" w:rsidRPr="00CD2F03" w:rsidRDefault="00504DF3" w:rsidP="00CD2F03">
      <w:pPr>
        <w:ind w:left="-567"/>
        <w:jc w:val="both"/>
        <w:rPr>
          <w:rFonts w:ascii="IBM Plex Sans" w:hAnsi="IBM Plex Sans"/>
          <w:b/>
          <w:sz w:val="20"/>
          <w:szCs w:val="20"/>
        </w:rPr>
      </w:pPr>
      <w:r w:rsidRPr="00CD2F03">
        <w:rPr>
          <w:rFonts w:ascii="IBM Plex Sans" w:hAnsi="IBM Plex Sans"/>
          <w:b/>
          <w:sz w:val="20"/>
          <w:szCs w:val="20"/>
        </w:rPr>
        <w:t xml:space="preserve">Примечание: </w:t>
      </w:r>
    </w:p>
    <w:p w:rsidR="00504DF3" w:rsidRPr="00CD2F03" w:rsidRDefault="00504DF3" w:rsidP="00CD2F03">
      <w:pPr>
        <w:ind w:left="-567"/>
        <w:jc w:val="both"/>
        <w:rPr>
          <w:rFonts w:ascii="IBM Plex Sans" w:hAnsi="IBM Plex Sans"/>
          <w:sz w:val="20"/>
          <w:szCs w:val="20"/>
        </w:rPr>
      </w:pPr>
      <w:bookmarkStart w:id="0" w:name="_Hlk20382202"/>
      <w:r w:rsidRPr="00CD2F03">
        <w:rPr>
          <w:rFonts w:ascii="IBM Plex Sans" w:hAnsi="IBM Plex Sans"/>
          <w:sz w:val="20"/>
          <w:szCs w:val="20"/>
        </w:rPr>
        <w:t xml:space="preserve">- </w:t>
      </w:r>
      <w:r w:rsidRPr="00CD2F03">
        <w:rPr>
          <w:rFonts w:ascii="IBM Plex Sans" w:hAnsi="IBM Plex Sans"/>
          <w:sz w:val="20"/>
          <w:szCs w:val="20"/>
          <w:u w:val="single"/>
        </w:rPr>
        <w:t>при минимальной ширине и высоте проема</w:t>
      </w:r>
      <w:r w:rsidRPr="00CD2F03">
        <w:rPr>
          <w:rFonts w:ascii="IBM Plex Sans" w:hAnsi="IBM Plex Sans"/>
          <w:sz w:val="20"/>
          <w:szCs w:val="20"/>
        </w:rPr>
        <w:t xml:space="preserve"> зазор между полом и полотном будет составлять 1</w:t>
      </w:r>
      <w:r w:rsidR="001A22C4">
        <w:rPr>
          <w:rFonts w:ascii="IBM Plex Sans" w:hAnsi="IBM Plex Sans"/>
          <w:sz w:val="20"/>
          <w:szCs w:val="20"/>
        </w:rPr>
        <w:t>0</w:t>
      </w:r>
      <w:r w:rsidR="00C052A5" w:rsidRPr="00CD2F03">
        <w:rPr>
          <w:rFonts w:ascii="IBM Plex Sans" w:hAnsi="IBM Plex Sans"/>
          <w:sz w:val="20"/>
          <w:szCs w:val="20"/>
        </w:rPr>
        <w:t xml:space="preserve"> </w:t>
      </w:r>
      <w:r w:rsidR="00A15726">
        <w:rPr>
          <w:rFonts w:ascii="IBM Plex Sans" w:hAnsi="IBM Plex Sans"/>
          <w:sz w:val="20"/>
          <w:szCs w:val="20"/>
        </w:rPr>
        <w:t>мм</w:t>
      </w:r>
      <w:r w:rsidRPr="00CD2F03">
        <w:rPr>
          <w:rFonts w:ascii="IBM Plex Sans" w:hAnsi="IBM Plex Sans"/>
          <w:sz w:val="20"/>
          <w:szCs w:val="20"/>
        </w:rPr>
        <w:t xml:space="preserve">, зазоры между вертикальными частями короба и проемом составляет 10 мм., зазор между </w:t>
      </w:r>
      <w:r w:rsidR="00574D49" w:rsidRPr="00CD2F03">
        <w:rPr>
          <w:rFonts w:ascii="IBM Plex Sans" w:hAnsi="IBM Plex Sans"/>
          <w:sz w:val="20"/>
          <w:szCs w:val="20"/>
        </w:rPr>
        <w:t>полотном и потолком составляет 5</w:t>
      </w:r>
      <w:r w:rsidRPr="00CD2F03">
        <w:rPr>
          <w:rFonts w:ascii="IBM Plex Sans" w:hAnsi="IBM Plex Sans"/>
          <w:sz w:val="20"/>
          <w:szCs w:val="20"/>
        </w:rPr>
        <w:t xml:space="preserve"> мм.</w:t>
      </w:r>
      <w:bookmarkEnd w:id="0"/>
    </w:p>
    <w:sectPr w:rsidR="00504DF3" w:rsidRPr="00CD2F03" w:rsidSect="00B23FD7">
      <w:footerReference w:type="default" r:id="rId15"/>
      <w:pgSz w:w="11906" w:h="16838"/>
      <w:pgMar w:top="851" w:right="849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19" w:rsidRDefault="00850519" w:rsidP="001646BB">
      <w:pPr>
        <w:spacing w:after="0" w:line="240" w:lineRule="auto"/>
      </w:pPr>
      <w:r>
        <w:separator/>
      </w:r>
    </w:p>
  </w:endnote>
  <w:endnote w:type="continuationSeparator" w:id="1">
    <w:p w:rsidR="00850519" w:rsidRDefault="00850519" w:rsidP="0016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36671"/>
      <w:docPartObj>
        <w:docPartGallery w:val="Page Numbers (Bottom of Page)"/>
        <w:docPartUnique/>
      </w:docPartObj>
    </w:sdtPr>
    <w:sdtContent>
      <w:p w:rsidR="00813B17" w:rsidRDefault="004C583F">
        <w:pPr>
          <w:pStyle w:val="a8"/>
          <w:jc w:val="right"/>
        </w:pPr>
        <w:r>
          <w:fldChar w:fldCharType="begin"/>
        </w:r>
        <w:r w:rsidR="005E2CF0">
          <w:instrText xml:space="preserve"> PAGE   \* MERGEFORMAT </w:instrText>
        </w:r>
        <w:r>
          <w:fldChar w:fldCharType="separate"/>
        </w:r>
        <w:r w:rsidR="00A157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3B17" w:rsidRDefault="00813B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19" w:rsidRDefault="00850519" w:rsidP="001646BB">
      <w:pPr>
        <w:spacing w:after="0" w:line="240" w:lineRule="auto"/>
      </w:pPr>
      <w:r>
        <w:separator/>
      </w:r>
    </w:p>
  </w:footnote>
  <w:footnote w:type="continuationSeparator" w:id="1">
    <w:p w:rsidR="00850519" w:rsidRDefault="00850519" w:rsidP="0016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F632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D3F"/>
    <w:multiLevelType w:val="hybridMultilevel"/>
    <w:tmpl w:val="F6469156"/>
    <w:lvl w:ilvl="0" w:tplc="948EA82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FE6D3D"/>
    <w:multiLevelType w:val="hybridMultilevel"/>
    <w:tmpl w:val="A37C664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8711D"/>
    <w:multiLevelType w:val="hybridMultilevel"/>
    <w:tmpl w:val="5A26EA4C"/>
    <w:lvl w:ilvl="0" w:tplc="0419000D">
      <w:start w:val="1"/>
      <w:numFmt w:val="bullet"/>
      <w:lvlText w:val=""/>
      <w:lvlJc w:val="left"/>
      <w:pPr>
        <w:ind w:left="11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8">
    <w:nsid w:val="678945EE"/>
    <w:multiLevelType w:val="hybridMultilevel"/>
    <w:tmpl w:val="5BD2075A"/>
    <w:lvl w:ilvl="0" w:tplc="485A05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6EB42FD3"/>
    <w:multiLevelType w:val="hybridMultilevel"/>
    <w:tmpl w:val="0226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F8"/>
    <w:rsid w:val="00001836"/>
    <w:rsid w:val="00014603"/>
    <w:rsid w:val="00020AE0"/>
    <w:rsid w:val="00024C33"/>
    <w:rsid w:val="00026152"/>
    <w:rsid w:val="00036B20"/>
    <w:rsid w:val="000378B3"/>
    <w:rsid w:val="00042ED9"/>
    <w:rsid w:val="00047AF0"/>
    <w:rsid w:val="00054BD2"/>
    <w:rsid w:val="00055D79"/>
    <w:rsid w:val="00062939"/>
    <w:rsid w:val="00065486"/>
    <w:rsid w:val="00066D86"/>
    <w:rsid w:val="000705F4"/>
    <w:rsid w:val="00075576"/>
    <w:rsid w:val="00081AB7"/>
    <w:rsid w:val="000848EE"/>
    <w:rsid w:val="00087E5D"/>
    <w:rsid w:val="000944B1"/>
    <w:rsid w:val="00096A5C"/>
    <w:rsid w:val="000A7D03"/>
    <w:rsid w:val="000D30A0"/>
    <w:rsid w:val="000E56C9"/>
    <w:rsid w:val="000E5B1F"/>
    <w:rsid w:val="000E5B33"/>
    <w:rsid w:val="000F1332"/>
    <w:rsid w:val="000F309F"/>
    <w:rsid w:val="000F40EF"/>
    <w:rsid w:val="001061B4"/>
    <w:rsid w:val="00113814"/>
    <w:rsid w:val="00123C4A"/>
    <w:rsid w:val="00130692"/>
    <w:rsid w:val="00134092"/>
    <w:rsid w:val="001646BB"/>
    <w:rsid w:val="001711FF"/>
    <w:rsid w:val="0017594E"/>
    <w:rsid w:val="00180869"/>
    <w:rsid w:val="001817E1"/>
    <w:rsid w:val="001826D0"/>
    <w:rsid w:val="00192111"/>
    <w:rsid w:val="001A22A6"/>
    <w:rsid w:val="001A22C4"/>
    <w:rsid w:val="001A29C9"/>
    <w:rsid w:val="001A3B0D"/>
    <w:rsid w:val="001B02F1"/>
    <w:rsid w:val="001B2393"/>
    <w:rsid w:val="001D25D0"/>
    <w:rsid w:val="001D54D5"/>
    <w:rsid w:val="001E3B77"/>
    <w:rsid w:val="001F0219"/>
    <w:rsid w:val="001F12F4"/>
    <w:rsid w:val="001F4C29"/>
    <w:rsid w:val="0020338A"/>
    <w:rsid w:val="00210828"/>
    <w:rsid w:val="002159BE"/>
    <w:rsid w:val="00216E22"/>
    <w:rsid w:val="002173EB"/>
    <w:rsid w:val="00234237"/>
    <w:rsid w:val="002427A1"/>
    <w:rsid w:val="002465DD"/>
    <w:rsid w:val="002639C7"/>
    <w:rsid w:val="00280F9F"/>
    <w:rsid w:val="00292780"/>
    <w:rsid w:val="00293485"/>
    <w:rsid w:val="00296945"/>
    <w:rsid w:val="00297463"/>
    <w:rsid w:val="002A6FFA"/>
    <w:rsid w:val="002D22E4"/>
    <w:rsid w:val="002D798A"/>
    <w:rsid w:val="002E1102"/>
    <w:rsid w:val="002E6E44"/>
    <w:rsid w:val="002F6583"/>
    <w:rsid w:val="00300711"/>
    <w:rsid w:val="003324CD"/>
    <w:rsid w:val="003356D0"/>
    <w:rsid w:val="00341537"/>
    <w:rsid w:val="00350EBB"/>
    <w:rsid w:val="003750CF"/>
    <w:rsid w:val="00375333"/>
    <w:rsid w:val="0039621E"/>
    <w:rsid w:val="003B39D0"/>
    <w:rsid w:val="003B41AF"/>
    <w:rsid w:val="003C1682"/>
    <w:rsid w:val="003C4BF0"/>
    <w:rsid w:val="003C4E49"/>
    <w:rsid w:val="003C5C82"/>
    <w:rsid w:val="003D5E29"/>
    <w:rsid w:val="003D6BAF"/>
    <w:rsid w:val="003D6BB4"/>
    <w:rsid w:val="003D75D0"/>
    <w:rsid w:val="003E1AD0"/>
    <w:rsid w:val="003E29F5"/>
    <w:rsid w:val="003E64FE"/>
    <w:rsid w:val="003E7F34"/>
    <w:rsid w:val="003F22D3"/>
    <w:rsid w:val="00402108"/>
    <w:rsid w:val="0040478B"/>
    <w:rsid w:val="004151DE"/>
    <w:rsid w:val="004263B2"/>
    <w:rsid w:val="0043709A"/>
    <w:rsid w:val="00445514"/>
    <w:rsid w:val="00450E4E"/>
    <w:rsid w:val="0045436D"/>
    <w:rsid w:val="00460273"/>
    <w:rsid w:val="00465EAF"/>
    <w:rsid w:val="004744F4"/>
    <w:rsid w:val="0049518B"/>
    <w:rsid w:val="00496DD6"/>
    <w:rsid w:val="004B2C0B"/>
    <w:rsid w:val="004C0CBF"/>
    <w:rsid w:val="004C18E3"/>
    <w:rsid w:val="004C583F"/>
    <w:rsid w:val="004E333F"/>
    <w:rsid w:val="004E39D1"/>
    <w:rsid w:val="004E40C2"/>
    <w:rsid w:val="004F61B8"/>
    <w:rsid w:val="004F63DD"/>
    <w:rsid w:val="005015E8"/>
    <w:rsid w:val="0050369F"/>
    <w:rsid w:val="00504DF3"/>
    <w:rsid w:val="0050548D"/>
    <w:rsid w:val="00507923"/>
    <w:rsid w:val="00517A50"/>
    <w:rsid w:val="005213A0"/>
    <w:rsid w:val="00522092"/>
    <w:rsid w:val="00523180"/>
    <w:rsid w:val="00525179"/>
    <w:rsid w:val="00536F7E"/>
    <w:rsid w:val="00541ECB"/>
    <w:rsid w:val="00545B7F"/>
    <w:rsid w:val="005522CB"/>
    <w:rsid w:val="00562C77"/>
    <w:rsid w:val="0057301D"/>
    <w:rsid w:val="00574D49"/>
    <w:rsid w:val="005752C9"/>
    <w:rsid w:val="0058128A"/>
    <w:rsid w:val="00583060"/>
    <w:rsid w:val="0058531B"/>
    <w:rsid w:val="0059544E"/>
    <w:rsid w:val="005A04EF"/>
    <w:rsid w:val="005A1E5E"/>
    <w:rsid w:val="005A66AF"/>
    <w:rsid w:val="005B2FBF"/>
    <w:rsid w:val="005D0057"/>
    <w:rsid w:val="005E2CF0"/>
    <w:rsid w:val="005F2D2E"/>
    <w:rsid w:val="005F5DD6"/>
    <w:rsid w:val="00604D82"/>
    <w:rsid w:val="006061DC"/>
    <w:rsid w:val="00606D3F"/>
    <w:rsid w:val="006138EF"/>
    <w:rsid w:val="00615798"/>
    <w:rsid w:val="00615B42"/>
    <w:rsid w:val="0061654F"/>
    <w:rsid w:val="00616A82"/>
    <w:rsid w:val="006351F9"/>
    <w:rsid w:val="00635D12"/>
    <w:rsid w:val="006364F4"/>
    <w:rsid w:val="00640752"/>
    <w:rsid w:val="006408EB"/>
    <w:rsid w:val="00643164"/>
    <w:rsid w:val="00654E52"/>
    <w:rsid w:val="00657CC5"/>
    <w:rsid w:val="006665F2"/>
    <w:rsid w:val="00671ADC"/>
    <w:rsid w:val="00680B9C"/>
    <w:rsid w:val="006A4889"/>
    <w:rsid w:val="006A4E2F"/>
    <w:rsid w:val="006B7B06"/>
    <w:rsid w:val="006D3A96"/>
    <w:rsid w:val="006E1911"/>
    <w:rsid w:val="006E1F0C"/>
    <w:rsid w:val="006E5D58"/>
    <w:rsid w:val="006E7471"/>
    <w:rsid w:val="006F03C4"/>
    <w:rsid w:val="006F28CE"/>
    <w:rsid w:val="006F4B44"/>
    <w:rsid w:val="007126F3"/>
    <w:rsid w:val="00715756"/>
    <w:rsid w:val="00720EB1"/>
    <w:rsid w:val="00743CB3"/>
    <w:rsid w:val="00744E57"/>
    <w:rsid w:val="00744EC4"/>
    <w:rsid w:val="00746FE5"/>
    <w:rsid w:val="00763F2D"/>
    <w:rsid w:val="007647C9"/>
    <w:rsid w:val="00766907"/>
    <w:rsid w:val="0076763B"/>
    <w:rsid w:val="00771382"/>
    <w:rsid w:val="0077757D"/>
    <w:rsid w:val="00777B5C"/>
    <w:rsid w:val="0078248C"/>
    <w:rsid w:val="00783FDA"/>
    <w:rsid w:val="00791B70"/>
    <w:rsid w:val="00795881"/>
    <w:rsid w:val="007A14DC"/>
    <w:rsid w:val="007C0DBC"/>
    <w:rsid w:val="007D2C66"/>
    <w:rsid w:val="007D3B6E"/>
    <w:rsid w:val="007D6CEB"/>
    <w:rsid w:val="007E04C0"/>
    <w:rsid w:val="007F36DC"/>
    <w:rsid w:val="007F7A7C"/>
    <w:rsid w:val="0080270D"/>
    <w:rsid w:val="00813B17"/>
    <w:rsid w:val="00814CD2"/>
    <w:rsid w:val="008273B3"/>
    <w:rsid w:val="00835ABB"/>
    <w:rsid w:val="008368E6"/>
    <w:rsid w:val="00844BCA"/>
    <w:rsid w:val="00845DA1"/>
    <w:rsid w:val="00850519"/>
    <w:rsid w:val="008554C7"/>
    <w:rsid w:val="008558E6"/>
    <w:rsid w:val="00861202"/>
    <w:rsid w:val="00865F2D"/>
    <w:rsid w:val="008731B9"/>
    <w:rsid w:val="0088714B"/>
    <w:rsid w:val="00887D82"/>
    <w:rsid w:val="008A4551"/>
    <w:rsid w:val="008A5FED"/>
    <w:rsid w:val="008B42A8"/>
    <w:rsid w:val="008C6DC4"/>
    <w:rsid w:val="008D2F2D"/>
    <w:rsid w:val="008D492A"/>
    <w:rsid w:val="008D5147"/>
    <w:rsid w:val="008E334F"/>
    <w:rsid w:val="009116B9"/>
    <w:rsid w:val="00911CDB"/>
    <w:rsid w:val="009127C1"/>
    <w:rsid w:val="00923A0E"/>
    <w:rsid w:val="00926956"/>
    <w:rsid w:val="00931B09"/>
    <w:rsid w:val="00937069"/>
    <w:rsid w:val="00937825"/>
    <w:rsid w:val="00943B0B"/>
    <w:rsid w:val="009455F8"/>
    <w:rsid w:val="00953BF3"/>
    <w:rsid w:val="0096719C"/>
    <w:rsid w:val="00971B49"/>
    <w:rsid w:val="009735AB"/>
    <w:rsid w:val="0097749C"/>
    <w:rsid w:val="00980152"/>
    <w:rsid w:val="00986F92"/>
    <w:rsid w:val="00992C11"/>
    <w:rsid w:val="009954D9"/>
    <w:rsid w:val="009A0266"/>
    <w:rsid w:val="009A12FC"/>
    <w:rsid w:val="009A49E2"/>
    <w:rsid w:val="009B6286"/>
    <w:rsid w:val="009E1D44"/>
    <w:rsid w:val="009E4CA1"/>
    <w:rsid w:val="009E6BC1"/>
    <w:rsid w:val="009F76E4"/>
    <w:rsid w:val="009F7CD9"/>
    <w:rsid w:val="00A10465"/>
    <w:rsid w:val="00A10F6F"/>
    <w:rsid w:val="00A15726"/>
    <w:rsid w:val="00A267F9"/>
    <w:rsid w:val="00A3249B"/>
    <w:rsid w:val="00A342B0"/>
    <w:rsid w:val="00A400B0"/>
    <w:rsid w:val="00A423A1"/>
    <w:rsid w:val="00A437EF"/>
    <w:rsid w:val="00A5273F"/>
    <w:rsid w:val="00A549A1"/>
    <w:rsid w:val="00A60751"/>
    <w:rsid w:val="00A66B3A"/>
    <w:rsid w:val="00A72AC4"/>
    <w:rsid w:val="00A74A04"/>
    <w:rsid w:val="00A750A2"/>
    <w:rsid w:val="00A7555C"/>
    <w:rsid w:val="00A75E7C"/>
    <w:rsid w:val="00A930B0"/>
    <w:rsid w:val="00A93A71"/>
    <w:rsid w:val="00AA7773"/>
    <w:rsid w:val="00AB0C01"/>
    <w:rsid w:val="00AB30A7"/>
    <w:rsid w:val="00AB3882"/>
    <w:rsid w:val="00AB4E01"/>
    <w:rsid w:val="00AB65FC"/>
    <w:rsid w:val="00AB71E1"/>
    <w:rsid w:val="00AC423E"/>
    <w:rsid w:val="00AC488E"/>
    <w:rsid w:val="00AD55FC"/>
    <w:rsid w:val="00AD6150"/>
    <w:rsid w:val="00AE3A09"/>
    <w:rsid w:val="00AE527D"/>
    <w:rsid w:val="00AF4DB3"/>
    <w:rsid w:val="00AF7C3F"/>
    <w:rsid w:val="00AF7F61"/>
    <w:rsid w:val="00B07FD6"/>
    <w:rsid w:val="00B1052E"/>
    <w:rsid w:val="00B127EB"/>
    <w:rsid w:val="00B17309"/>
    <w:rsid w:val="00B23FD7"/>
    <w:rsid w:val="00B33C28"/>
    <w:rsid w:val="00B34FCE"/>
    <w:rsid w:val="00B5070A"/>
    <w:rsid w:val="00B56640"/>
    <w:rsid w:val="00B66212"/>
    <w:rsid w:val="00B66C71"/>
    <w:rsid w:val="00B73D4E"/>
    <w:rsid w:val="00B761DB"/>
    <w:rsid w:val="00B76961"/>
    <w:rsid w:val="00B90305"/>
    <w:rsid w:val="00B951F8"/>
    <w:rsid w:val="00B954E3"/>
    <w:rsid w:val="00BA594D"/>
    <w:rsid w:val="00BB2D08"/>
    <w:rsid w:val="00BC6954"/>
    <w:rsid w:val="00BD210E"/>
    <w:rsid w:val="00BD5CA9"/>
    <w:rsid w:val="00BE09F3"/>
    <w:rsid w:val="00BE0AEA"/>
    <w:rsid w:val="00BE3057"/>
    <w:rsid w:val="00BF7385"/>
    <w:rsid w:val="00BF764C"/>
    <w:rsid w:val="00C052A5"/>
    <w:rsid w:val="00C052F8"/>
    <w:rsid w:val="00C21064"/>
    <w:rsid w:val="00C2217E"/>
    <w:rsid w:val="00C3561F"/>
    <w:rsid w:val="00C35640"/>
    <w:rsid w:val="00C40707"/>
    <w:rsid w:val="00C435D4"/>
    <w:rsid w:val="00C47527"/>
    <w:rsid w:val="00C511CA"/>
    <w:rsid w:val="00C5210B"/>
    <w:rsid w:val="00C52D9A"/>
    <w:rsid w:val="00C75F1B"/>
    <w:rsid w:val="00C84EE1"/>
    <w:rsid w:val="00C94849"/>
    <w:rsid w:val="00C9766E"/>
    <w:rsid w:val="00CB4E93"/>
    <w:rsid w:val="00CB5969"/>
    <w:rsid w:val="00CB69E9"/>
    <w:rsid w:val="00CC132E"/>
    <w:rsid w:val="00CC1897"/>
    <w:rsid w:val="00CC541F"/>
    <w:rsid w:val="00CC58A8"/>
    <w:rsid w:val="00CC6EEA"/>
    <w:rsid w:val="00CD2F03"/>
    <w:rsid w:val="00CD3F3C"/>
    <w:rsid w:val="00CE0BC9"/>
    <w:rsid w:val="00CE415B"/>
    <w:rsid w:val="00CF0351"/>
    <w:rsid w:val="00CF4EC5"/>
    <w:rsid w:val="00D04A1A"/>
    <w:rsid w:val="00D05588"/>
    <w:rsid w:val="00D17866"/>
    <w:rsid w:val="00D21F91"/>
    <w:rsid w:val="00D23189"/>
    <w:rsid w:val="00D458AD"/>
    <w:rsid w:val="00D520E1"/>
    <w:rsid w:val="00D53948"/>
    <w:rsid w:val="00D72D83"/>
    <w:rsid w:val="00D76100"/>
    <w:rsid w:val="00D77044"/>
    <w:rsid w:val="00D82219"/>
    <w:rsid w:val="00D8671E"/>
    <w:rsid w:val="00DA4367"/>
    <w:rsid w:val="00DB020F"/>
    <w:rsid w:val="00DC0545"/>
    <w:rsid w:val="00DC658C"/>
    <w:rsid w:val="00DD26E0"/>
    <w:rsid w:val="00DD5657"/>
    <w:rsid w:val="00DE2BD8"/>
    <w:rsid w:val="00E017C6"/>
    <w:rsid w:val="00E02AF6"/>
    <w:rsid w:val="00E05F01"/>
    <w:rsid w:val="00E06884"/>
    <w:rsid w:val="00E1197F"/>
    <w:rsid w:val="00E15CFE"/>
    <w:rsid w:val="00E163C8"/>
    <w:rsid w:val="00E17EFD"/>
    <w:rsid w:val="00E31AE4"/>
    <w:rsid w:val="00E3684E"/>
    <w:rsid w:val="00E57BCE"/>
    <w:rsid w:val="00E61CD6"/>
    <w:rsid w:val="00E6229C"/>
    <w:rsid w:val="00E67729"/>
    <w:rsid w:val="00E72467"/>
    <w:rsid w:val="00E90719"/>
    <w:rsid w:val="00EB0951"/>
    <w:rsid w:val="00EB31C8"/>
    <w:rsid w:val="00EB5C70"/>
    <w:rsid w:val="00EC2D94"/>
    <w:rsid w:val="00ED6CC7"/>
    <w:rsid w:val="00EE3969"/>
    <w:rsid w:val="00EE57B6"/>
    <w:rsid w:val="00F01B65"/>
    <w:rsid w:val="00F0282D"/>
    <w:rsid w:val="00F34271"/>
    <w:rsid w:val="00F34F98"/>
    <w:rsid w:val="00F62FA3"/>
    <w:rsid w:val="00F64FB3"/>
    <w:rsid w:val="00F6640C"/>
    <w:rsid w:val="00F750A4"/>
    <w:rsid w:val="00F81D13"/>
    <w:rsid w:val="00F94D59"/>
    <w:rsid w:val="00FA00B5"/>
    <w:rsid w:val="00FA1A70"/>
    <w:rsid w:val="00FC0DBD"/>
    <w:rsid w:val="00FC6E37"/>
    <w:rsid w:val="00FC7752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6BB"/>
  </w:style>
  <w:style w:type="paragraph" w:styleId="a8">
    <w:name w:val="footer"/>
    <w:basedOn w:val="a"/>
    <w:link w:val="a9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6BB"/>
  </w:style>
  <w:style w:type="table" w:styleId="aa">
    <w:name w:val="Table Grid"/>
    <w:basedOn w:val="a1"/>
    <w:uiPriority w:val="59"/>
    <w:rsid w:val="008B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1102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E1102"/>
    <w:pPr>
      <w:widowControl w:val="0"/>
      <w:spacing w:after="0" w:line="240" w:lineRule="auto"/>
      <w:ind w:left="120"/>
    </w:pPr>
    <w:rPr>
      <w:rFonts w:eastAsia="KievitCyr-BookItalicSC"/>
      <w:i/>
      <w:szCs w:val="24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2E1102"/>
    <w:rPr>
      <w:rFonts w:eastAsia="KievitCyr-BookItalicSC"/>
      <w:i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102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customStyle="1" w:styleId="11">
    <w:name w:val="Заголовок 11"/>
    <w:basedOn w:val="a"/>
    <w:uiPriority w:val="1"/>
    <w:qFormat/>
    <w:rsid w:val="002E1102"/>
    <w:pPr>
      <w:widowControl w:val="0"/>
      <w:spacing w:after="0" w:line="240" w:lineRule="auto"/>
      <w:ind w:left="120"/>
      <w:outlineLvl w:val="1"/>
    </w:pPr>
    <w:rPr>
      <w:rFonts w:eastAsia="KievitCyr-BookItalicSC"/>
      <w:i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574D49"/>
    <w:pPr>
      <w:widowControl w:val="0"/>
      <w:spacing w:after="0" w:line="240" w:lineRule="auto"/>
      <w:ind w:left="120"/>
      <w:outlineLvl w:val="1"/>
    </w:pPr>
    <w:rPr>
      <w:rFonts w:eastAsia="KievitCyr-BookItalicSC"/>
      <w:i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DE58-9560-4DF4-88C2-674FFD27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Пользователь Windows</cp:lastModifiedBy>
  <cp:revision>4</cp:revision>
  <cp:lastPrinted>2021-04-13T11:09:00Z</cp:lastPrinted>
  <dcterms:created xsi:type="dcterms:W3CDTF">2021-04-13T09:00:00Z</dcterms:created>
  <dcterms:modified xsi:type="dcterms:W3CDTF">2021-04-19T11:34:00Z</dcterms:modified>
</cp:coreProperties>
</file>